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58" w:rsidRPr="00B2002A" w:rsidRDefault="00F72A58" w:rsidP="00F72A58">
      <w:pPr>
        <w:rPr>
          <w:rFonts w:ascii="TH NiramitIT๙" w:hAnsi="TH NiramitIT๙" w:cs="TH NiramitIT๙"/>
          <w:b/>
          <w:bCs/>
          <w:color w:val="FFFFFF" w:themeColor="background1"/>
          <w:spacing w:val="20"/>
          <w:sz w:val="60"/>
          <w:szCs w:val="60"/>
          <w:cs/>
        </w:rPr>
      </w:pPr>
      <w:r w:rsidRPr="00B2002A">
        <w:rPr>
          <w:noProof/>
          <w:color w:val="FFFFFF" w:themeColor="background1"/>
          <w:sz w:val="60"/>
          <w:szCs w:val="6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989330</wp:posOffset>
            </wp:positionH>
            <wp:positionV relativeFrom="paragraph">
              <wp:posOffset>400685</wp:posOffset>
            </wp:positionV>
            <wp:extent cx="3152775" cy="2400300"/>
            <wp:effectExtent l="19050" t="0" r="9525" b="0"/>
            <wp:wrapNone/>
            <wp:docPr id="2" name="Picture 2" descr="Copy of logo ne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py of logo new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2150" b="24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002A">
        <w:rPr>
          <w:rFonts w:ascii="TH NiramitIT๙" w:hAnsi="TH NiramitIT๙" w:cs="TH NiramitIT๙"/>
          <w:b/>
          <w:bCs/>
          <w:color w:val="FFFFFF" w:themeColor="background1"/>
          <w:spacing w:val="20"/>
          <w:sz w:val="60"/>
          <w:szCs w:val="60"/>
        </w:rPr>
        <w:t xml:space="preserve">                     </w:t>
      </w:r>
      <w:r w:rsidRPr="00B2002A">
        <w:rPr>
          <w:rFonts w:ascii="TH NiramitIT๙" w:hAnsi="TH NiramitIT๙" w:cs="TH NiramitIT๙" w:hint="cs"/>
          <w:b/>
          <w:bCs/>
          <w:color w:val="FFFFFF" w:themeColor="background1"/>
          <w:spacing w:val="20"/>
          <w:sz w:val="60"/>
          <w:szCs w:val="60"/>
          <w:cs/>
        </w:rPr>
        <w:t>- ร่าง -</w:t>
      </w:r>
    </w:p>
    <w:p w:rsidR="00F72A58" w:rsidRDefault="00F72A58" w:rsidP="00F72A58">
      <w:pPr>
        <w:jc w:val="center"/>
        <w:rPr>
          <w:rFonts w:ascii="TH NiramitIT๙" w:hAnsi="TH NiramitIT๙" w:cs="TH NiramitIT๙"/>
          <w:b/>
          <w:bCs/>
          <w:spacing w:val="20"/>
          <w:sz w:val="120"/>
          <w:szCs w:val="120"/>
        </w:rPr>
      </w:pPr>
    </w:p>
    <w:p w:rsidR="00F72A58" w:rsidRDefault="00F72A58" w:rsidP="00F72A58">
      <w:pPr>
        <w:jc w:val="center"/>
        <w:rPr>
          <w:rFonts w:ascii="TH NiramitIT๙" w:hAnsi="TH NiramitIT๙" w:cs="TH NiramitIT๙"/>
          <w:b/>
          <w:bCs/>
          <w:spacing w:val="20"/>
          <w:sz w:val="120"/>
          <w:szCs w:val="120"/>
        </w:rPr>
      </w:pPr>
    </w:p>
    <w:p w:rsidR="00F72A58" w:rsidRPr="00F72A58" w:rsidRDefault="00F72A58" w:rsidP="00F72A58">
      <w:pPr>
        <w:jc w:val="center"/>
        <w:rPr>
          <w:rFonts w:ascii="TH NiramitIT๙" w:hAnsi="TH NiramitIT๙" w:cs="TH NiramitIT๙"/>
          <w:b/>
          <w:bCs/>
          <w:spacing w:val="20"/>
          <w:sz w:val="80"/>
          <w:szCs w:val="80"/>
        </w:rPr>
      </w:pPr>
      <w:r w:rsidRPr="00F72A58">
        <w:rPr>
          <w:rFonts w:ascii="TH NiramitIT๙" w:hAnsi="TH NiramitIT๙" w:cs="TH NiramitIT๙" w:hint="cs"/>
          <w:b/>
          <w:bCs/>
          <w:spacing w:val="20"/>
          <w:sz w:val="80"/>
          <w:szCs w:val="80"/>
          <w:cs/>
        </w:rPr>
        <w:t>เทศบัญญัติ</w:t>
      </w:r>
    </w:p>
    <w:p w:rsidR="00F72A58" w:rsidRDefault="00F72A58" w:rsidP="00F72A58">
      <w:pPr>
        <w:jc w:val="center"/>
        <w:rPr>
          <w:rFonts w:ascii="TH NiramitIT๙" w:hAnsi="TH NiramitIT๙" w:cs="TH NiramitIT๙"/>
          <w:b/>
          <w:bCs/>
          <w:spacing w:val="20"/>
          <w:sz w:val="80"/>
          <w:szCs w:val="80"/>
        </w:rPr>
      </w:pPr>
      <w:r w:rsidRPr="00F72A58">
        <w:rPr>
          <w:rFonts w:ascii="TH NiramitIT๙" w:hAnsi="TH NiramitIT๙" w:cs="TH NiramitIT๙" w:hint="cs"/>
          <w:b/>
          <w:bCs/>
          <w:spacing w:val="20"/>
          <w:sz w:val="80"/>
          <w:szCs w:val="80"/>
          <w:cs/>
        </w:rPr>
        <w:t>งบประมาณรายจ่าย</w:t>
      </w:r>
    </w:p>
    <w:p w:rsidR="00F72A58" w:rsidRPr="00F72A58" w:rsidRDefault="00F72A58" w:rsidP="00F72A58">
      <w:pPr>
        <w:jc w:val="center"/>
        <w:rPr>
          <w:rFonts w:ascii="TH NiramitIT๙" w:hAnsi="TH NiramitIT๙" w:cs="TH NiramitIT๙"/>
          <w:b/>
          <w:bCs/>
          <w:spacing w:val="20"/>
          <w:sz w:val="80"/>
          <w:szCs w:val="80"/>
        </w:rPr>
      </w:pPr>
      <w:r w:rsidRPr="00F72A58">
        <w:rPr>
          <w:rFonts w:ascii="TH NiramitIT๙" w:hAnsi="TH NiramitIT๙" w:cs="TH NiramitIT๙" w:hint="cs"/>
          <w:b/>
          <w:bCs/>
          <w:spacing w:val="20"/>
          <w:sz w:val="80"/>
          <w:szCs w:val="80"/>
          <w:cs/>
        </w:rPr>
        <w:t xml:space="preserve">ประจำปีงบประมาณ </w:t>
      </w:r>
    </w:p>
    <w:p w:rsidR="00F72A58" w:rsidRPr="00F72A58" w:rsidRDefault="00F72A58" w:rsidP="00F72A58">
      <w:pPr>
        <w:jc w:val="center"/>
        <w:rPr>
          <w:rFonts w:ascii="TH NiramitIT๙" w:hAnsi="TH NiramitIT๙" w:cs="TH NiramitIT๙"/>
          <w:b/>
          <w:bCs/>
          <w:spacing w:val="20"/>
          <w:sz w:val="80"/>
          <w:szCs w:val="80"/>
          <w:cs/>
        </w:rPr>
      </w:pPr>
      <w:r w:rsidRPr="00F72A58">
        <w:rPr>
          <w:rFonts w:ascii="TH NiramitIT๙" w:hAnsi="TH NiramitIT๙" w:cs="TH NiramitIT๙" w:hint="cs"/>
          <w:b/>
          <w:bCs/>
          <w:spacing w:val="20"/>
          <w:sz w:val="80"/>
          <w:szCs w:val="80"/>
          <w:cs/>
        </w:rPr>
        <w:t>พ.ศ. 2559</w:t>
      </w:r>
    </w:p>
    <w:p w:rsidR="00F72A58" w:rsidRDefault="00F72A58" w:rsidP="00F72A58">
      <w:pPr>
        <w:rPr>
          <w:cs/>
        </w:rPr>
      </w:pPr>
    </w:p>
    <w:p w:rsidR="00F72A58" w:rsidRPr="00BB47A4" w:rsidRDefault="00F72A58" w:rsidP="00F72A58"/>
    <w:p w:rsidR="00F72A58" w:rsidRPr="004C5FBB" w:rsidRDefault="00F72A58" w:rsidP="00F72A58">
      <w:pPr>
        <w:pStyle w:val="2"/>
        <w:rPr>
          <w:rFonts w:ascii="TH NiramitIT๙" w:hAnsi="TH NiramitIT๙" w:cs="TH NiramitIT๙"/>
          <w:spacing w:val="20"/>
          <w:sz w:val="80"/>
          <w:szCs w:val="80"/>
          <w:cs/>
        </w:rPr>
      </w:pPr>
      <w:r w:rsidRPr="004C5FBB">
        <w:rPr>
          <w:rFonts w:ascii="TH NiramitIT๙" w:hAnsi="TH NiramitIT๙" w:cs="TH NiramitIT๙"/>
          <w:spacing w:val="20"/>
          <w:sz w:val="80"/>
          <w:szCs w:val="80"/>
          <w:cs/>
        </w:rPr>
        <w:t>เทศบาลตำบลปากน้ำท่าเรือ</w:t>
      </w:r>
    </w:p>
    <w:p w:rsidR="00F72A58" w:rsidRPr="00BB47A4" w:rsidRDefault="00F72A58" w:rsidP="00F72A58">
      <w:pPr>
        <w:jc w:val="center"/>
        <w:rPr>
          <w:rFonts w:ascii="TH NiramitIT๙" w:hAnsi="TH NiramitIT๙" w:cs="TH NiramitIT๙"/>
          <w:b/>
          <w:bCs/>
          <w:sz w:val="80"/>
          <w:szCs w:val="80"/>
        </w:rPr>
      </w:pPr>
      <w:r w:rsidRPr="004C5FBB">
        <w:rPr>
          <w:rFonts w:ascii="TH NiramitIT๙" w:hAnsi="TH NiramitIT๙" w:cs="TH NiramitIT๙"/>
          <w:b/>
          <w:bCs/>
          <w:spacing w:val="20"/>
          <w:sz w:val="80"/>
          <w:szCs w:val="80"/>
          <w:cs/>
        </w:rPr>
        <w:t>อำเภอเมืองระนอง</w:t>
      </w:r>
      <w:r w:rsidRPr="004C5FBB">
        <w:rPr>
          <w:rFonts w:ascii="TH NiramitIT๙" w:hAnsi="TH NiramitIT๙" w:cs="TH NiramitIT๙"/>
          <w:b/>
          <w:bCs/>
          <w:spacing w:val="20"/>
          <w:sz w:val="80"/>
          <w:szCs w:val="80"/>
        </w:rPr>
        <w:t xml:space="preserve"> </w:t>
      </w:r>
      <w:r w:rsidRPr="004C5FBB">
        <w:rPr>
          <w:rFonts w:ascii="TH NiramitIT๙" w:hAnsi="TH NiramitIT๙" w:cs="TH NiramitIT๙"/>
          <w:b/>
          <w:bCs/>
          <w:spacing w:val="20"/>
          <w:sz w:val="80"/>
          <w:szCs w:val="80"/>
          <w:cs/>
        </w:rPr>
        <w:t>จังหวัดระนอง</w:t>
      </w:r>
    </w:p>
    <w:p w:rsidR="00F72A58" w:rsidRPr="00DD7FEC" w:rsidRDefault="00F72A58" w:rsidP="00F72A58">
      <w:pPr>
        <w:rPr>
          <w:rFonts w:ascii="TH NiramitIT๙" w:hAnsi="TH NiramitIT๙" w:cs="TH NiramitIT๙"/>
          <w:b/>
          <w:bCs/>
          <w:sz w:val="60"/>
          <w:szCs w:val="60"/>
        </w:rPr>
      </w:pPr>
    </w:p>
    <w:p w:rsidR="00F72A58" w:rsidRDefault="00F72A58" w:rsidP="00F72A58">
      <w:pPr>
        <w:ind w:right="329"/>
        <w:jc w:val="right"/>
        <w:rPr>
          <w:rFonts w:ascii="TH Krub" w:hAnsi="TH Krub" w:cs="TH Krub"/>
          <w:b/>
          <w:bCs/>
          <w:sz w:val="50"/>
          <w:szCs w:val="50"/>
        </w:rPr>
      </w:pPr>
      <w:r w:rsidRPr="00DD7FEC">
        <w:rPr>
          <w:rFonts w:ascii="TH Krub" w:hAnsi="TH Krub" w:cs="TH Krub"/>
          <w:b/>
          <w:bCs/>
          <w:sz w:val="50"/>
          <w:szCs w:val="50"/>
          <w:cs/>
        </w:rPr>
        <w:t xml:space="preserve">สำนักปลัดฯ </w:t>
      </w:r>
      <w:r>
        <w:rPr>
          <w:rFonts w:ascii="TH Krub" w:hAnsi="TH Krub" w:cs="TH Krub" w:hint="cs"/>
          <w:b/>
          <w:bCs/>
          <w:sz w:val="50"/>
          <w:szCs w:val="50"/>
          <w:cs/>
        </w:rPr>
        <w:t>(</w:t>
      </w:r>
      <w:r w:rsidRPr="00DD7FEC">
        <w:rPr>
          <w:rFonts w:ascii="TH Krub" w:hAnsi="TH Krub" w:cs="TH Krub"/>
          <w:b/>
          <w:bCs/>
          <w:sz w:val="50"/>
          <w:szCs w:val="50"/>
          <w:cs/>
        </w:rPr>
        <w:t>งานวิเคราะห์นโยบายและแผน</w:t>
      </w:r>
      <w:r>
        <w:rPr>
          <w:rFonts w:ascii="TH Krub" w:hAnsi="TH Krub" w:cs="TH Krub" w:hint="cs"/>
          <w:b/>
          <w:bCs/>
          <w:sz w:val="50"/>
          <w:szCs w:val="50"/>
          <w:cs/>
        </w:rPr>
        <w:t>)</w:t>
      </w:r>
    </w:p>
    <w:p w:rsidR="00F72A58" w:rsidRDefault="00F72A58" w:rsidP="00F72A58">
      <w:pPr>
        <w:ind w:right="329"/>
        <w:jc w:val="right"/>
        <w:rPr>
          <w:rFonts w:ascii="TH Krub" w:hAnsi="TH Krub" w:cs="TH Krub"/>
          <w:b/>
          <w:bCs/>
          <w:sz w:val="50"/>
          <w:szCs w:val="50"/>
          <w:cs/>
        </w:rPr>
      </w:pPr>
      <w:r>
        <w:rPr>
          <w:rFonts w:ascii="TH Krub" w:hAnsi="TH Krub" w:cs="TH Krub" w:hint="cs"/>
          <w:b/>
          <w:bCs/>
          <w:sz w:val="50"/>
          <w:szCs w:val="50"/>
          <w:cs/>
        </w:rPr>
        <w:t>โทร. ๐ ๗๗๘๗ ๑๐๑๔</w:t>
      </w:r>
    </w:p>
    <w:p w:rsidR="00F72A58" w:rsidRDefault="00F72A58" w:rsidP="00F72A58">
      <w:pPr>
        <w:ind w:right="329"/>
        <w:jc w:val="right"/>
        <w:rPr>
          <w:rFonts w:ascii="TH Krub" w:hAnsi="TH Krub" w:cs="TH Krub"/>
          <w:b/>
          <w:bCs/>
          <w:sz w:val="50"/>
          <w:szCs w:val="50"/>
        </w:rPr>
      </w:pPr>
      <w:r>
        <w:rPr>
          <w:rFonts w:ascii="TH Krub" w:hAnsi="TH Krub" w:cs="TH Krub" w:hint="cs"/>
          <w:b/>
          <w:bCs/>
          <w:sz w:val="50"/>
          <w:szCs w:val="50"/>
          <w:cs/>
        </w:rPr>
        <w:t>โทรสาร. ๐ ๗๗๘๗ ๑๐๖๕</w:t>
      </w:r>
    </w:p>
    <w:p w:rsidR="00F72A58" w:rsidRPr="00DD7FEC" w:rsidRDefault="00F72A58" w:rsidP="00F72A58">
      <w:pPr>
        <w:ind w:right="329"/>
        <w:jc w:val="right"/>
        <w:rPr>
          <w:rFonts w:ascii="TH Krub" w:hAnsi="TH Krub" w:cs="TH Krub"/>
          <w:b/>
          <w:bCs/>
          <w:color w:val="000000"/>
          <w:sz w:val="50"/>
          <w:szCs w:val="50"/>
        </w:rPr>
      </w:pPr>
      <w:r w:rsidRPr="00DD7FEC">
        <w:rPr>
          <w:rFonts w:ascii="Arial" w:hAnsi="Arial" w:cs="Arial"/>
          <w:color w:val="000000"/>
          <w:shd w:val="clear" w:color="auto" w:fill="FFFFFF"/>
        </w:rPr>
        <w:t>www.paknamtarua.go.th</w:t>
      </w:r>
    </w:p>
    <w:p w:rsidR="00D72598" w:rsidRPr="00F72A58" w:rsidRDefault="00D72598">
      <w:pPr>
        <w:rPr>
          <w:rFonts w:asciiTheme="minorHAnsi" w:hAnsiTheme="minorHAnsi"/>
        </w:rPr>
      </w:pPr>
    </w:p>
    <w:sectPr w:rsidR="00D72598" w:rsidRPr="00F72A58" w:rsidSect="002427BB">
      <w:pgSz w:w="11906" w:h="16838" w:code="9"/>
      <w:pgMar w:top="899" w:right="1274" w:bottom="719" w:left="2057" w:header="2552" w:footer="2552" w:gutter="0"/>
      <w:paperSrc w:first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SarabunIT๙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Krub">
    <w:panose1 w:val="02000506040000020004"/>
    <w:charset w:val="00"/>
    <w:family w:val="auto"/>
    <w:pitch w:val="variable"/>
    <w:sig w:usb0="A100006F" w:usb1="5000204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72A58"/>
    <w:rsid w:val="00841679"/>
    <w:rsid w:val="00945836"/>
    <w:rsid w:val="00B2002A"/>
    <w:rsid w:val="00D72598"/>
    <w:rsid w:val="00F7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SarabunIT๙" w:eastAsiaTheme="minorHAnsi" w:hAnsi="THSarabunIT๙" w:cs="TH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58"/>
    <w:pPr>
      <w:spacing w:after="0" w:line="240" w:lineRule="auto"/>
    </w:pPr>
    <w:rPr>
      <w:rFonts w:ascii="Angsana New" w:eastAsia="Times New Roman" w:hAnsi="Angsana New" w:cs="Angsana New"/>
    </w:rPr>
  </w:style>
  <w:style w:type="paragraph" w:styleId="2">
    <w:name w:val="heading 2"/>
    <w:basedOn w:val="a"/>
    <w:next w:val="a"/>
    <w:link w:val="20"/>
    <w:qFormat/>
    <w:rsid w:val="00F72A58"/>
    <w:pPr>
      <w:keepNext/>
      <w:jc w:val="center"/>
      <w:outlineLvl w:val="1"/>
    </w:pPr>
    <w:rPr>
      <w:b/>
      <w:bCs/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F72A58"/>
    <w:rPr>
      <w:rFonts w:ascii="Angsana New" w:eastAsia="Times New Roman" w:hAnsi="Angsana New" w:cs="Angsana New"/>
      <w:b/>
      <w:bCs/>
      <w:sz w:val="60"/>
      <w:szCs w:val="6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2015-10-05T03:31:00Z</dcterms:created>
  <dcterms:modified xsi:type="dcterms:W3CDTF">2015-10-05T03:31:00Z</dcterms:modified>
</cp:coreProperties>
</file>